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303D6D" w:rsidRPr="00620B19" w:rsidRDefault="00303D6D" w:rsidP="00303D6D">
      <w:pPr>
        <w:tabs>
          <w:tab w:val="left" w:pos="14656"/>
        </w:tabs>
        <w:jc w:val="center"/>
        <w:rPr>
          <w:b/>
          <w:sz w:val="20"/>
          <w:lang w:eastAsia="lt-LT"/>
        </w:rPr>
      </w:pPr>
      <w:r w:rsidRPr="00620B19">
        <w:rPr>
          <w:b/>
          <w:lang w:eastAsia="lt-LT"/>
        </w:rPr>
        <w:t xml:space="preserve">KLAIPĖDOS </w:t>
      </w:r>
      <w:r>
        <w:rPr>
          <w:b/>
          <w:lang w:eastAsia="lt-LT"/>
        </w:rPr>
        <w:t>LOPŠELIO-DARŽELIO „PAKALNUTĖ“</w:t>
      </w:r>
    </w:p>
    <w:p w:rsidR="0006079E" w:rsidRDefault="00303D6D" w:rsidP="00303D6D">
      <w:pPr>
        <w:jc w:val="center"/>
        <w:rPr>
          <w:b/>
        </w:rPr>
      </w:pPr>
      <w:r>
        <w:rPr>
          <w:b/>
          <w:lang w:eastAsia="lt-LT"/>
        </w:rPr>
        <w:t>2021 METŲ VEIKLOS ATASKAITA</w:t>
      </w:r>
    </w:p>
    <w:p w:rsidR="00832CC9" w:rsidRPr="00F72A1E" w:rsidRDefault="00832CC9" w:rsidP="0006079E">
      <w:pPr>
        <w:jc w:val="center"/>
      </w:pPr>
    </w:p>
    <w:p w:rsidR="00082456" w:rsidRDefault="008C4EFA" w:rsidP="00082456">
      <w:pPr>
        <w:ind w:firstLine="709"/>
        <w:jc w:val="both"/>
        <w:rPr>
          <w:strike/>
        </w:rPr>
      </w:pPr>
      <w:r w:rsidRPr="008C4EFA">
        <w:t>Klaipėdos lopšelis-darželis „Pakalnutė“ (toliau – Įstaiga) vykdo ikimokyklinį ir priešmokyklinį ugdymą, įgyvendina kalbinio, meninio ir sveikos gyvensenos ugdymo neformaliojo vaikų švietimo programas. 2021-09-01 duomenimis, Įstaigoje ugdyti 139 ugdytiniai (2020 m. – 129), iš jų 43 ugdytiniai – lopšelio grupėse, 67 ugdytiniai – darželio grupėse, 29 ugdytiniai – priešmokyklinėse grupėse. Dirbo 28 pedagogai, t. y. 22,83 etato (2020 m. – 22 etatai), ir 22 nepedagoginiai darbuotojai, t. y. 24,3 etato (2020 m. – 24,3 etato).</w:t>
      </w:r>
    </w:p>
    <w:p w:rsidR="00082456" w:rsidRDefault="008C4EFA" w:rsidP="00082456">
      <w:pPr>
        <w:ind w:firstLine="709"/>
        <w:jc w:val="both"/>
        <w:rPr>
          <w:strike/>
        </w:rPr>
      </w:pPr>
      <w:r w:rsidRPr="008C4EFA">
        <w:t>P</w:t>
      </w:r>
      <w:r w:rsidR="004C6FBF">
        <w:t>raėjusiais metais Įstaiga veikė</w:t>
      </w:r>
      <w:r w:rsidRPr="008C4EFA">
        <w:t xml:space="preserve"> vadovaudamasi 2021–2023 m. strateginiu planu (toliau – Strateginis planas) ir 2021 m. veiklos planu (toliau – Veiklos planas). Įstaigos bendruomenė 2021 m. išsikėlė šias prioritetinės veiklos kryptis: </w:t>
      </w:r>
      <w:r w:rsidRPr="008C4EFA">
        <w:rPr>
          <w:lang w:eastAsia="lt-LT"/>
        </w:rPr>
        <w:t xml:space="preserve">1) tobulinti (gilinti) pedagogų skaitmeninį raštingumą, naudojant informacines komunikacines technologijas </w:t>
      </w:r>
      <w:r w:rsidRPr="008C4EFA">
        <w:t xml:space="preserve">(toliau – IKT) </w:t>
      </w:r>
      <w:r w:rsidRPr="008C4EFA">
        <w:rPr>
          <w:lang w:eastAsia="lt-LT"/>
        </w:rPr>
        <w:t>ir jas integruojant į ugdymo procesą, taikant virtualias ir nuotoliniam mokymui(si) skirtas platformas; 2) užtikrinti švietimo prieinamumą ir mokymosi pagalbą įvairių gebėjimų ir poreikių vaikams, taikant vaiko pažangos matavimo sistemą; 3) pozityvios emocinės aplinkos, lemiančios gerą Įstaigos bendruomenės savijautą švietimo įstaigoje, kūrimas. Įstaiga</w:t>
      </w:r>
      <w:r w:rsidRPr="008C4EFA">
        <w:t xml:space="preserve"> siekė strateginio tikslo –plėtoti ir tobulinti ugdymo(si) proceso organizavimą. </w:t>
      </w:r>
    </w:p>
    <w:p w:rsidR="00082456" w:rsidRDefault="008C4EFA" w:rsidP="00082456">
      <w:pPr>
        <w:ind w:firstLine="709"/>
        <w:jc w:val="both"/>
        <w:rPr>
          <w:strike/>
        </w:rPr>
      </w:pPr>
      <w:r w:rsidRPr="008C4EFA">
        <w:t>Siekiant Strateginio plano pirmojo tikslo – užtikrinti kokybišką ugdymo proceso organizavimą – Įstaigos veikla buvo orientuojama į IKT bei virtualių platformų naudojimo ugdymo procese, darbuotojų kvalifikacijos tobulinimo, ugdytinių ugdymo(si) poreikių tenkinimo bei švietimo pagalbos vaikui teikimosričių tobulinimą. Tikslams pasiekti buvo vykdomi du Veiklos plano uždaviniai:</w:t>
      </w:r>
    </w:p>
    <w:p w:rsidR="00082456" w:rsidRDefault="008C4EFA" w:rsidP="00082456">
      <w:pPr>
        <w:ind w:firstLine="709"/>
        <w:jc w:val="both"/>
      </w:pPr>
      <w:r w:rsidRPr="008C4EFA">
        <w:t>– įgyvendinant pirmąjį uždavinį – tobulinti (gilinti) pedagogų skaitmeninį raštingumą, naudojant IKT ir jas integruojant į ugdymo procesą, taikant virtualias ir nuotoliniam mokymui(si) skirtas platformas – buvo sudarytos sąlygos vaikų nuotoliniam ugdymui: pedagogai įvairių IKT įrankių pagalba („ZOOM“, „Viber“, elektroniniu paštu, „Padlet“) teikė užduotis vaikams, konsultavo tėvus. Atnaujinus ugdymo veiklą įstaigoje, vadovaujantis ekstremalių situacijų komisijos sprendimais ir rekomendacijomis, buvo siekiama mažinti srautus ir kontaktus ugdymo įstaigoje. Todėl kūno kultūros bei meninio ugdymo pedagogai, naudodami IKT įrankius, kartu su grupėje esančiu pedagogu nuotoliniu būdu vedė kūno kultūros bei muzikos užsiėmimus ugdytiniams.</w:t>
      </w:r>
    </w:p>
    <w:p w:rsidR="00082456" w:rsidRDefault="008C4EFA" w:rsidP="00082456">
      <w:pPr>
        <w:ind w:firstLine="709"/>
        <w:jc w:val="both"/>
      </w:pPr>
      <w:r w:rsidRPr="008C4EFA">
        <w:t xml:space="preserve">Naudojant IKT įrankius, tėvams buvo teikiama informacija, transliuojamos vaikų veiklos bei šventės: per „ZOOM“ buvo vesti tėvų susirinkimai; tėvų sutikimu, sukurtose „Viber“ bei „Facebook“ uždarose grupėse tėvams buvo siunčiama įvairių veiklų, organizuotų grupėse, vaizdo medžiaga, atliktų užduočių ar ugdytinių darbelių nuotraukos; naudojant „Skype“, „Messenger“ ir „Viber“ programas, buvo teikiamos individualios logopedo pratybos bei konsultacijos tėvams. Siekiant efektyvesnio ugdomųjų veiklų planavimo, spartesnio informacijos perdavimo bei glaudesnio Įstaigos pedagogų ir tėvų bendravimo ir bendradarbiavimo, įstaigoje buvo įdiegtas elektroninis dienynas (toliau – el. dienynas) „Mūsų darželis“. </w:t>
      </w:r>
    </w:p>
    <w:p w:rsidR="008C4EFA" w:rsidRPr="00082456" w:rsidRDefault="008C4EFA" w:rsidP="00082456">
      <w:pPr>
        <w:ind w:firstLine="709"/>
        <w:jc w:val="both"/>
        <w:rPr>
          <w:strike/>
        </w:rPr>
      </w:pPr>
      <w:r w:rsidRPr="008C4EFA">
        <w:t>Užtikrinant metodinę pagalbą Įstaigos pedagogams bei gerinant ugdymo proceso organizavimą, tiesioginiu bei nuotoliniu būdu Įstaigos bendruomenei buvo organizuojami posėdžiai ir susirinkimai. Mokytojai kryptingai dalyvavo kvalifikacijos tobulinimo renginiuose, kuriuose įgijo žinių apie nuotolinio mokymo(si) iššūkius, vaikų elgesio valdymo meną, IKT priemonių panaudojimo galimybes nuotoliniame ugdyme. Visi pedagogai tobulino savo kvalifikaciją 4–5 dienas.</w:t>
      </w:r>
    </w:p>
    <w:p w:rsidR="008C4EFA" w:rsidRPr="008C4EFA" w:rsidRDefault="008C4EFA" w:rsidP="00082456">
      <w:pPr>
        <w:tabs>
          <w:tab w:val="left" w:pos="887"/>
        </w:tabs>
        <w:ind w:firstLine="709"/>
        <w:jc w:val="both"/>
        <w:rPr>
          <w:color w:val="FF0000"/>
        </w:rPr>
      </w:pPr>
      <w:r w:rsidRPr="008C4EFA">
        <w:lastRenderedPageBreak/>
        <w:t>Įgyvendinant pirmąjį uždavinį, Įstaigos pedagogai turėjo galimybę atrasti naujas ugdymo formas, patobulinti bendravimo ir bendradarbiavimo formas bei būdus ir pagilinti IKT žinias. Kasdienėje ugdomojoje veikloje pradėti taikyti nauji netradiciniai ugdymo metodai, kurie plėtojo vaikų kūrybiškumo bei pažintines kompetencijas, skatino juos domėtis supančia aplinka.</w:t>
      </w:r>
    </w:p>
    <w:p w:rsidR="008C4EFA" w:rsidRPr="008C4EFA" w:rsidRDefault="008C4EFA" w:rsidP="00082456">
      <w:pPr>
        <w:pStyle w:val="Sraopastraipa"/>
        <w:numPr>
          <w:ilvl w:val="0"/>
          <w:numId w:val="1"/>
        </w:numPr>
        <w:ind w:left="0" w:firstLine="709"/>
        <w:jc w:val="both"/>
        <w:rPr>
          <w:szCs w:val="24"/>
        </w:rPr>
      </w:pPr>
      <w:r w:rsidRPr="008C4EFA">
        <w:rPr>
          <w:szCs w:val="24"/>
        </w:rPr>
        <w:t xml:space="preserve">įgyvendinant antrąjį uždavinį – užtikrinti švietimo prieinamumą ir mokymosi pagalbą įvairių gebėjimų ir poreikių vaikams, taikant vaiko pažangos matavimo sistemą – buvo </w:t>
      </w:r>
      <w:r w:rsidRPr="008C4EFA">
        <w:rPr>
          <w:rFonts w:eastAsia="Calibri"/>
          <w:szCs w:val="24"/>
        </w:rPr>
        <w:t xml:space="preserve">užtikrintas ikimokyklinis ir priešmokyklinis ugdymas, per metus įgyvendintos kalbinio, meninio ir sveikos gyvensenos ugdymo neformaliojo vaikų švietimo programos, kuriose dalyvavo 139 ikimokyklinio ir priešmokyklinio amžiaus vaikai. </w:t>
      </w:r>
      <w:r w:rsidRPr="008C4EFA">
        <w:rPr>
          <w:szCs w:val="24"/>
        </w:rPr>
        <w:t>Ugdymo turinys orientuotas į aktyvų patirtinį ugdymąsi.</w:t>
      </w:r>
      <w:r w:rsidRPr="008C4EFA">
        <w:rPr>
          <w:rFonts w:eastAsia="Calibri"/>
          <w:szCs w:val="24"/>
        </w:rPr>
        <w:t xml:space="preserve"> Įgyvendintas tarptautinis projektas „Gera pradžia“, kuris padėjo lavinti individualius vaiko gebėjimus bei skatinti tėvus aktyviau dalyvauti ugdymo procese. 2021 m. vaikai kartu su pedagogais dalyvavo 23 tarptautiniuose bei respublikiniuose projektuose, 3 akcijose, 36 respublikiniuose parodose, 2 konkursuose. Buvo organizuoti 22 tradiciniai ir netradiciniai renginiai, kuriuose dalyvavo Įstaigos pedagogai bei ugdytiniai. Įstaigoje suburtos ir sėkmingai plėtojo savo veiklą kūrybinės darbo grupės.</w:t>
      </w:r>
    </w:p>
    <w:p w:rsidR="008C4EFA" w:rsidRPr="008C4EFA" w:rsidRDefault="008C4EFA" w:rsidP="008C4EFA">
      <w:pPr>
        <w:pStyle w:val="Betarp"/>
        <w:ind w:firstLine="709"/>
        <w:jc w:val="both"/>
        <w:rPr>
          <w:rFonts w:ascii="Times New Roman" w:hAnsi="Times New Roman" w:cs="Times New Roman"/>
          <w:sz w:val="24"/>
          <w:szCs w:val="24"/>
        </w:rPr>
      </w:pPr>
      <w:r w:rsidRPr="008C4EFA">
        <w:rPr>
          <w:rFonts w:ascii="Times New Roman" w:hAnsi="Times New Roman" w:cs="Times New Roman"/>
          <w:sz w:val="24"/>
          <w:szCs w:val="24"/>
        </w:rPr>
        <w:t xml:space="preserve">Įstaigoje įgyvendinama Lietuvos Respublikos švietimo įstatymo 30 straipsnio nuostata ikimokyklinio ir priešmokyklinio ugdymo grupėse rusų kalba ne mažiau kaip po 5 valandas per savaitę skirti ugdymui lietuvių kalba. </w:t>
      </w:r>
    </w:p>
    <w:p w:rsidR="008C4EFA" w:rsidRPr="008C4EFA" w:rsidRDefault="008C4EFA" w:rsidP="008C4EFA">
      <w:pPr>
        <w:pStyle w:val="Betarp"/>
        <w:ind w:firstLine="709"/>
        <w:jc w:val="both"/>
        <w:rPr>
          <w:rFonts w:ascii="Times New Roman" w:hAnsi="Times New Roman" w:cs="Times New Roman"/>
          <w:sz w:val="24"/>
          <w:szCs w:val="24"/>
        </w:rPr>
      </w:pPr>
      <w:r w:rsidRPr="008C4EFA">
        <w:rPr>
          <w:rFonts w:ascii="Times New Roman" w:hAnsi="Times New Roman" w:cs="Times New Roman"/>
          <w:bCs/>
          <w:iCs/>
          <w:sz w:val="24"/>
          <w:szCs w:val="24"/>
        </w:rPr>
        <w:t>Ugdymo p</w:t>
      </w:r>
      <w:r w:rsidRPr="008C4EFA">
        <w:rPr>
          <w:rFonts w:ascii="Times New Roman" w:hAnsi="Times New Roman" w:cs="Times New Roman"/>
          <w:sz w:val="24"/>
          <w:szCs w:val="24"/>
        </w:rPr>
        <w:t>rogramų įgyvendinimui Įstaigoje įsigytos būtinos ugdymo(si) priemonės, sukaupta metodinės medžiagos. Įstaigoje įgyvendinami tęstiniai edukaciniai projektai: dalyvauta projektuose „Žingsnis po žingsnio“, „Slavų vainikas“; neformaliojo vaikų meninio ugdymo programoje „Vaikas meno pasaulyje“, neformaliojo vaikų švietimo sveikos gyvensenos ugdymo programoje. Vykdomo respublikinio projekto „Sveika ir saugi gyvensena“ ugdymo turinys, papildytas naujomis veiklos formomis, užtikrino Įstaigos pirmojo tikslo ir uždavinių įgyvendinimą. Pradėti vykdyti ilgalaikiai projektai: „Muzikinė dėžutė“, socialinių-emocinių įgūdžių ugdymo projektas „Kimochi“. Dalyvauta programose „Pienas vaikams“ ir „Vaisių vartojimo skatinimas mokyklose“.</w:t>
      </w:r>
    </w:p>
    <w:p w:rsidR="008C4EFA" w:rsidRPr="008C4EFA" w:rsidRDefault="008C4EFA" w:rsidP="008C4EFA">
      <w:pPr>
        <w:ind w:firstLine="709"/>
        <w:jc w:val="both"/>
      </w:pPr>
      <w:r w:rsidRPr="008C4EFA">
        <w:t xml:space="preserve">Logopedo pagalba teikta 40 vaikų (2020 m. – 30). </w:t>
      </w:r>
      <w:r w:rsidRPr="008C4EFA">
        <w:rPr>
          <w:rStyle w:val="Komentaronuoroda"/>
          <w:sz w:val="24"/>
          <w:szCs w:val="24"/>
        </w:rPr>
        <w:t xml:space="preserve">Kalbos ir kalbėjimo sutrikimai pašalinti 15 vaikų, iš dalies </w:t>
      </w:r>
      <w:r w:rsidRPr="008C4EFA">
        <w:t xml:space="preserve">– </w:t>
      </w:r>
      <w:r w:rsidRPr="008C4EFA">
        <w:rPr>
          <w:rStyle w:val="Komentaronuoroda"/>
          <w:sz w:val="24"/>
          <w:szCs w:val="24"/>
        </w:rPr>
        <w:t xml:space="preserve">25 vaikams. </w:t>
      </w:r>
      <w:r w:rsidRPr="008C4EFA">
        <w:t>Ypatingas dėmesys skirtas vaikams, turintiems ugdymosi</w:t>
      </w:r>
      <w:r w:rsidR="005E5784">
        <w:t xml:space="preserve"> ir elgesio sunkumų. 2021-09-01</w:t>
      </w:r>
      <w:r w:rsidRPr="008C4EFA">
        <w:t>–2021-12-31 Įstaigai buvo skirtas 1 etatas mokytojo padėjėjo. Mokytojo padėjėjas teikė pagalbą grupėje, kurioje ugdomi 4 specialiuosius ugdymosi poreikius (toliau – SUP) turintys vaikai. Buvo organizuoti 5 Vaiko gerovės komisijos (toliau – VGK) posėdžiai, kuriuose aptartos įvairios poveikio priemonės. Įstaigoje teikiamos individualios konsultacijos pedagogams, dalinamasi informacija apie vaikų ugdymosi pažangą ir pasiekimus, organizuotos konsultacijos apie vaikų kalbos ugdymą; tėvams buvo demonstruojamas darbas su vaikais, skiriamos logopedinės užduotys namuose. Vaikams, turintiems SUP, buvo parengtos individualios pritaikytos ugdymo programos.</w:t>
      </w:r>
    </w:p>
    <w:p w:rsidR="00082456" w:rsidRDefault="008C4EFA" w:rsidP="00082456">
      <w:pPr>
        <w:ind w:firstLine="709"/>
        <w:jc w:val="both"/>
      </w:pPr>
      <w:r w:rsidRPr="008C4EFA">
        <w:t>Įgyvendinant antrąjį uždavinį, sėkmingai buvo vykdytas nuoseklus mokymosi pagalbos teikimas įvairių gebėjimų ir poreikių vaikams, pagerėjo ugdytinių, turinčių SUP, pasiekimų rezultatai.</w:t>
      </w:r>
    </w:p>
    <w:p w:rsidR="00082456" w:rsidRDefault="008C4EFA" w:rsidP="00082456">
      <w:pPr>
        <w:ind w:firstLine="709"/>
        <w:jc w:val="both"/>
      </w:pPr>
      <w:r w:rsidRPr="008C4EFA">
        <w:t>Siekiant Strateginio plano antrojo tikslo – užtikrinti sveiką, saugią ir šiuolaikinius ugdymo(si) reikalavimus atliepiančią aplinką – Įstaigos veikla buvo orientuojama į edukacinių aplinkų kūrimą, patalpų būklės atnaujinimą, šiuolaikinių ugdymo(si) priemonių įsigijimą. Tikslui pasiekti buvo vykdomas vienas Veiklos plano uždavinys:</w:t>
      </w:r>
    </w:p>
    <w:p w:rsidR="00082456" w:rsidRDefault="008C4EFA" w:rsidP="009A7C59">
      <w:pPr>
        <w:tabs>
          <w:tab w:val="left" w:pos="993"/>
        </w:tabs>
        <w:ind w:firstLine="709"/>
        <w:jc w:val="both"/>
      </w:pPr>
      <w:r w:rsidRPr="00082456">
        <w:t xml:space="preserve">– </w:t>
      </w:r>
      <w:r w:rsidR="009A7C59">
        <w:t xml:space="preserve">   </w:t>
      </w:r>
      <w:r w:rsidRPr="00082456">
        <w:t xml:space="preserve">pozityvios emocinės aplinkos, lemiančios gerą įstaigos bendruomenės savijautą švietimo įstaigoje kūrimas – planingai vykdyti materialinės bazės gerinimo darbai. Įrengtos papildomos 3 smėlio dėžės, įsigytos 6 lauko pavėsinės, sutvarkytas pastato fasadas (užtaisyti pastato fasado įtrūkimai bei plyšiai, šoninės sienos nudažytos silikoniniais dažais nepraleidžiančiais drėgmės ir šalčio). Įsigytos šiuolaikinės ugdymo(si) priemonės: į grupes nupirkti komplektai „Emocijų pagalvėlės“, skirti lavinti vaikų socialinius-emocinius įgūdžius; neformaliojo vaikų švietimo meninio ugdymo programos „Vaikas meno pasaulyje“ įgyvendinimui bei vaikų meninės saviraiškos lavinimui metodinis kabinetas papildytas meninėmis priemonėmis (magnetinė lenta, priemonės </w:t>
      </w:r>
      <w:r w:rsidRPr="00082456">
        <w:lastRenderedPageBreak/>
        <w:t>skirtos dailei); lietuvių kalbos ugdymui ikimokyklinio ir priešmokyklinio ugdymo grupėse nupirktos metodinės priemonės (abėcėlė, loto „Profesijos“, „Daikto padėtis“, dėlionių komplektas „Metų laikai“, lėlių teatro komplektas).</w:t>
      </w:r>
    </w:p>
    <w:p w:rsidR="00082456" w:rsidRDefault="008C4EFA" w:rsidP="00082456">
      <w:pPr>
        <w:ind w:firstLine="709"/>
        <w:jc w:val="both"/>
      </w:pPr>
      <w:r w:rsidRPr="00082456">
        <w:t>2021 metais Įstaigoje atliktas psichosocialinių rizikos veiksnių įsivertinimas. Įvertinimo metu nustatyta, jog dalis darbuotojų kartais jaučiasi išsekę. Reaguojant į darbuotojų patiriamą darbe įtampą ir siekiant sumažinti stresą, svarbu organizuoti reguliarius susitikimus (pagal poreikį –nuotolinius) tarp vadovo ir darbuotojo, išsiaiškinti, kokia yra darbuotojų emocinė savijauta, su kokiais iššūkiais jie susiduria, ir ieškoti būdų, kaip spręsti kylančias problemas ir esminius klausimus.</w:t>
      </w:r>
    </w:p>
    <w:p w:rsidR="00082456" w:rsidRDefault="008C4EFA" w:rsidP="00082456">
      <w:pPr>
        <w:ind w:firstLine="709"/>
        <w:jc w:val="both"/>
      </w:pPr>
      <w:r w:rsidRPr="008C4EFA">
        <w:t>Įgyvendinant uždavinį, atlikti materialinės bazės gerinimo darbai padidino įstaigos patrauklumą, pagerino jos įvaizdį mieste. Psichosocialinių rizikos veiksnių įsivertinimas padėjo nustatyti tobulintinas sritis kitiems metams.</w:t>
      </w:r>
    </w:p>
    <w:p w:rsidR="008C4EFA" w:rsidRPr="008C4EFA" w:rsidRDefault="008C4EFA" w:rsidP="00082456">
      <w:pPr>
        <w:ind w:firstLine="709"/>
        <w:jc w:val="both"/>
      </w:pPr>
      <w:r w:rsidRPr="008C4EFA">
        <w:t>2021 m. Įstaigos finansinė situacija:</w:t>
      </w:r>
    </w:p>
    <w:tbl>
      <w:tblPr>
        <w:tblStyle w:val="Lentelstinklelis"/>
        <w:tblW w:w="0" w:type="auto"/>
        <w:tblInd w:w="31" w:type="dxa"/>
        <w:tblLook w:val="04A0" w:firstRow="1" w:lastRow="0" w:firstColumn="1" w:lastColumn="0" w:noHBand="0" w:noVBand="1"/>
      </w:tblPr>
      <w:tblGrid>
        <w:gridCol w:w="2204"/>
        <w:gridCol w:w="1470"/>
        <w:gridCol w:w="1365"/>
        <w:gridCol w:w="1283"/>
        <w:gridCol w:w="3237"/>
      </w:tblGrid>
      <w:tr w:rsidR="008C4EFA" w:rsidRPr="008C4EFA" w:rsidTr="00425D24">
        <w:trPr>
          <w:tblHeader/>
        </w:trPr>
        <w:tc>
          <w:tcPr>
            <w:tcW w:w="2204" w:type="dxa"/>
            <w:vMerge w:val="restart"/>
            <w:tcBorders>
              <w:top w:val="single" w:sz="4" w:space="0" w:color="auto"/>
              <w:left w:val="single" w:sz="4" w:space="0" w:color="auto"/>
              <w:bottom w:val="single" w:sz="4" w:space="0" w:color="auto"/>
              <w:right w:val="single" w:sz="4" w:space="0" w:color="auto"/>
            </w:tcBorders>
            <w:hideMark/>
          </w:tcPr>
          <w:p w:rsidR="008C4EFA" w:rsidRPr="008C4EFA" w:rsidRDefault="008C4EFA" w:rsidP="00E20D5B">
            <w:pPr>
              <w:jc w:val="center"/>
            </w:pPr>
            <w:r w:rsidRPr="008C4EFA">
              <w:t>Finansavimo šaltinis</w:t>
            </w:r>
          </w:p>
        </w:tc>
        <w:tc>
          <w:tcPr>
            <w:tcW w:w="4110" w:type="dxa"/>
            <w:gridSpan w:val="3"/>
            <w:tcBorders>
              <w:top w:val="single" w:sz="4" w:space="0" w:color="auto"/>
              <w:left w:val="single" w:sz="4" w:space="0" w:color="auto"/>
              <w:bottom w:val="single" w:sz="4" w:space="0" w:color="auto"/>
              <w:right w:val="single" w:sz="4" w:space="0" w:color="auto"/>
            </w:tcBorders>
            <w:hideMark/>
          </w:tcPr>
          <w:p w:rsidR="008C4EFA" w:rsidRPr="008C4EFA" w:rsidRDefault="008C4EFA" w:rsidP="00E20D5B">
            <w:pPr>
              <w:jc w:val="center"/>
            </w:pPr>
            <w:r w:rsidRPr="008C4EFA">
              <w:t>Lėšos (tūkst. Eur)</w:t>
            </w:r>
          </w:p>
        </w:tc>
        <w:tc>
          <w:tcPr>
            <w:tcW w:w="3237" w:type="dxa"/>
            <w:vMerge w:val="restart"/>
            <w:tcBorders>
              <w:top w:val="single" w:sz="4" w:space="0" w:color="auto"/>
              <w:left w:val="single" w:sz="4" w:space="0" w:color="auto"/>
              <w:right w:val="single" w:sz="4" w:space="0" w:color="auto"/>
            </w:tcBorders>
          </w:tcPr>
          <w:p w:rsidR="008C4EFA" w:rsidRPr="008C4EFA" w:rsidRDefault="008C4EFA" w:rsidP="00E20D5B">
            <w:pPr>
              <w:jc w:val="center"/>
            </w:pPr>
            <w:r w:rsidRPr="008C4EFA">
              <w:t>Pastabos</w:t>
            </w:r>
          </w:p>
          <w:p w:rsidR="008C4EFA" w:rsidRPr="008C4EFA" w:rsidRDefault="008C4EFA" w:rsidP="00E20D5B">
            <w:pPr>
              <w:jc w:val="center"/>
            </w:pPr>
          </w:p>
        </w:tc>
      </w:tr>
      <w:tr w:rsidR="008C4EFA" w:rsidRPr="008C4EFA" w:rsidTr="00425D24">
        <w:trPr>
          <w:tblHead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8C4EFA" w:rsidRPr="008C4EFA" w:rsidRDefault="008C4EFA" w:rsidP="00E20D5B">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8C4EFA" w:rsidRPr="008C4EFA" w:rsidRDefault="008C4EFA" w:rsidP="00E20D5B">
            <w:pPr>
              <w:jc w:val="center"/>
            </w:pPr>
            <w:r w:rsidRPr="008C4EFA">
              <w:t>Planas (patikslintas)</w:t>
            </w:r>
          </w:p>
        </w:tc>
        <w:tc>
          <w:tcPr>
            <w:tcW w:w="1365" w:type="dxa"/>
            <w:tcBorders>
              <w:top w:val="single" w:sz="4" w:space="0" w:color="auto"/>
              <w:left w:val="single" w:sz="4" w:space="0" w:color="auto"/>
              <w:bottom w:val="single" w:sz="4" w:space="0" w:color="auto"/>
              <w:right w:val="single" w:sz="4" w:space="0" w:color="auto"/>
            </w:tcBorders>
            <w:hideMark/>
          </w:tcPr>
          <w:p w:rsidR="008C4EFA" w:rsidRPr="008C4EFA" w:rsidRDefault="008C4EFA" w:rsidP="00E20D5B">
            <w:pPr>
              <w:jc w:val="center"/>
            </w:pPr>
            <w:r w:rsidRPr="008C4EFA">
              <w:t>Panaudota lėšų</w:t>
            </w:r>
          </w:p>
        </w:tc>
        <w:tc>
          <w:tcPr>
            <w:tcW w:w="1275" w:type="dxa"/>
            <w:tcBorders>
              <w:top w:val="single" w:sz="4" w:space="0" w:color="auto"/>
              <w:left w:val="single" w:sz="4" w:space="0" w:color="auto"/>
              <w:bottom w:val="single" w:sz="4" w:space="0" w:color="auto"/>
              <w:right w:val="single" w:sz="4" w:space="0" w:color="auto"/>
            </w:tcBorders>
            <w:hideMark/>
          </w:tcPr>
          <w:p w:rsidR="008C4EFA" w:rsidRPr="008C4EFA" w:rsidRDefault="008C4EFA" w:rsidP="00E20D5B">
            <w:pPr>
              <w:jc w:val="center"/>
            </w:pPr>
            <w:r w:rsidRPr="008C4EFA">
              <w:t>Įvykdymas (%)</w:t>
            </w:r>
          </w:p>
        </w:tc>
        <w:tc>
          <w:tcPr>
            <w:tcW w:w="3237" w:type="dxa"/>
            <w:vMerge/>
            <w:tcBorders>
              <w:left w:val="single" w:sz="4" w:space="0" w:color="auto"/>
              <w:bottom w:val="single" w:sz="4" w:space="0" w:color="auto"/>
              <w:right w:val="single" w:sz="4" w:space="0" w:color="auto"/>
            </w:tcBorders>
          </w:tcPr>
          <w:p w:rsidR="008C4EFA" w:rsidRPr="008C4EFA" w:rsidRDefault="008C4EFA" w:rsidP="00E20D5B"/>
        </w:tc>
      </w:tr>
      <w:tr w:rsidR="008C4EFA" w:rsidRPr="008C4EFA" w:rsidTr="00425D24">
        <w:trPr>
          <w:trHeight w:val="415"/>
        </w:trPr>
        <w:tc>
          <w:tcPr>
            <w:tcW w:w="2204" w:type="dxa"/>
            <w:tcBorders>
              <w:top w:val="single" w:sz="4" w:space="0" w:color="auto"/>
              <w:left w:val="single" w:sz="4" w:space="0" w:color="auto"/>
              <w:bottom w:val="single" w:sz="4" w:space="0" w:color="auto"/>
              <w:right w:val="single" w:sz="4" w:space="0" w:color="auto"/>
            </w:tcBorders>
            <w:hideMark/>
          </w:tcPr>
          <w:p w:rsidR="008C4EFA" w:rsidRPr="008C4EFA" w:rsidRDefault="008C4EFA" w:rsidP="00E20D5B">
            <w:r w:rsidRPr="008C4EFA">
              <w:t>Savivaldybės biudžetas (SB)</w:t>
            </w:r>
          </w:p>
        </w:tc>
        <w:tc>
          <w:tcPr>
            <w:tcW w:w="1470"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438,5</w:t>
            </w:r>
          </w:p>
        </w:tc>
        <w:tc>
          <w:tcPr>
            <w:tcW w:w="1365"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437,9</w:t>
            </w:r>
          </w:p>
        </w:tc>
        <w:tc>
          <w:tcPr>
            <w:tcW w:w="1275"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99,86%</w:t>
            </w:r>
          </w:p>
        </w:tc>
        <w:tc>
          <w:tcPr>
            <w:tcW w:w="3237"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w:t>
            </w:r>
          </w:p>
        </w:tc>
      </w:tr>
      <w:tr w:rsidR="008C4EFA" w:rsidRPr="008C4EFA" w:rsidTr="00425D24">
        <w:tc>
          <w:tcPr>
            <w:tcW w:w="2204" w:type="dxa"/>
            <w:tcBorders>
              <w:top w:val="single" w:sz="4" w:space="0" w:color="auto"/>
              <w:left w:val="single" w:sz="4" w:space="0" w:color="auto"/>
              <w:bottom w:val="single" w:sz="4" w:space="0" w:color="auto"/>
              <w:right w:val="single" w:sz="4" w:space="0" w:color="auto"/>
            </w:tcBorders>
            <w:hideMark/>
          </w:tcPr>
          <w:p w:rsidR="008C4EFA" w:rsidRPr="008C4EFA" w:rsidRDefault="008C4EFA" w:rsidP="00E20D5B">
            <w:r w:rsidRPr="008C4EFA">
              <w:t>Specialioji tikslinė dotacija (VB)</w:t>
            </w:r>
          </w:p>
        </w:tc>
        <w:tc>
          <w:tcPr>
            <w:tcW w:w="1470"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238,2</w:t>
            </w:r>
          </w:p>
        </w:tc>
        <w:tc>
          <w:tcPr>
            <w:tcW w:w="1365"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238,2</w:t>
            </w:r>
          </w:p>
        </w:tc>
        <w:tc>
          <w:tcPr>
            <w:tcW w:w="1275"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100%</w:t>
            </w:r>
          </w:p>
        </w:tc>
        <w:tc>
          <w:tcPr>
            <w:tcW w:w="3237"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w:t>
            </w:r>
          </w:p>
        </w:tc>
      </w:tr>
      <w:tr w:rsidR="008C4EFA" w:rsidRPr="008C4EFA" w:rsidTr="00425D24">
        <w:tc>
          <w:tcPr>
            <w:tcW w:w="2204" w:type="dxa"/>
            <w:tcBorders>
              <w:top w:val="single" w:sz="4" w:space="0" w:color="auto"/>
              <w:left w:val="single" w:sz="4" w:space="0" w:color="auto"/>
              <w:bottom w:val="single" w:sz="4" w:space="0" w:color="auto"/>
              <w:right w:val="single" w:sz="4" w:space="0" w:color="auto"/>
            </w:tcBorders>
            <w:hideMark/>
          </w:tcPr>
          <w:p w:rsidR="008C4EFA" w:rsidRPr="008C4EFA" w:rsidRDefault="008C4EFA" w:rsidP="00E20D5B">
            <w:r w:rsidRPr="008C4EFA">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52,68</w:t>
            </w:r>
          </w:p>
        </w:tc>
        <w:tc>
          <w:tcPr>
            <w:tcW w:w="1365"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51,43</w:t>
            </w:r>
          </w:p>
        </w:tc>
        <w:tc>
          <w:tcPr>
            <w:tcW w:w="1275"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97,63%</w:t>
            </w:r>
          </w:p>
        </w:tc>
        <w:tc>
          <w:tcPr>
            <w:tcW w:w="3237"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425D24">
            <w:pPr>
              <w:jc w:val="both"/>
            </w:pPr>
            <w:r w:rsidRPr="008C4EFA">
              <w:t>Dėl vaikų sergamumo panaudotą mažiau lėšų nei planuota</w:t>
            </w:r>
          </w:p>
        </w:tc>
      </w:tr>
      <w:tr w:rsidR="008C4EFA" w:rsidRPr="008C4EFA" w:rsidTr="00425D24">
        <w:trPr>
          <w:trHeight w:val="143"/>
        </w:trPr>
        <w:tc>
          <w:tcPr>
            <w:tcW w:w="2204" w:type="dxa"/>
            <w:tcBorders>
              <w:top w:val="single" w:sz="4" w:space="0" w:color="auto"/>
              <w:left w:val="single" w:sz="4" w:space="0" w:color="auto"/>
              <w:bottom w:val="single" w:sz="4" w:space="0" w:color="auto"/>
              <w:right w:val="single" w:sz="4" w:space="0" w:color="auto"/>
            </w:tcBorders>
            <w:hideMark/>
          </w:tcPr>
          <w:p w:rsidR="008C4EFA" w:rsidRPr="008C4EFA" w:rsidRDefault="008C4EFA" w:rsidP="00E20D5B">
            <w:r w:rsidRPr="008C4EFA">
              <w:t>Pajamų išlaidos (SP)</w:t>
            </w:r>
          </w:p>
        </w:tc>
        <w:tc>
          <w:tcPr>
            <w:tcW w:w="1470" w:type="dxa"/>
            <w:tcBorders>
              <w:top w:val="single" w:sz="4" w:space="0" w:color="auto"/>
              <w:left w:val="single" w:sz="4" w:space="0" w:color="auto"/>
              <w:bottom w:val="single" w:sz="4" w:space="0" w:color="auto"/>
              <w:right w:val="single" w:sz="4" w:space="0" w:color="auto"/>
            </w:tcBorders>
            <w:vAlign w:val="center"/>
            <w:hideMark/>
          </w:tcPr>
          <w:p w:rsidR="008C4EFA" w:rsidRPr="008C4EFA" w:rsidRDefault="008C4EFA" w:rsidP="00E20D5B">
            <w:pPr>
              <w:jc w:val="center"/>
            </w:pPr>
            <w:r w:rsidRPr="008C4EFA">
              <w:t>52,68</w:t>
            </w:r>
          </w:p>
        </w:tc>
        <w:tc>
          <w:tcPr>
            <w:tcW w:w="1365"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51,43</w:t>
            </w:r>
          </w:p>
        </w:tc>
        <w:tc>
          <w:tcPr>
            <w:tcW w:w="1275"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97,63%</w:t>
            </w:r>
          </w:p>
        </w:tc>
        <w:tc>
          <w:tcPr>
            <w:tcW w:w="3237"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425D24">
            <w:pPr>
              <w:jc w:val="both"/>
            </w:pPr>
            <w:r w:rsidRPr="008C4EFA">
              <w:t>Dėl vaikų sergamumo panaudotą mažiau lėšų nei planuota</w:t>
            </w:r>
          </w:p>
        </w:tc>
      </w:tr>
      <w:tr w:rsidR="008C4EFA" w:rsidRPr="008C4EFA" w:rsidTr="00425D24">
        <w:trPr>
          <w:trHeight w:val="125"/>
        </w:trPr>
        <w:tc>
          <w:tcPr>
            <w:tcW w:w="2204" w:type="dxa"/>
            <w:tcBorders>
              <w:top w:val="single" w:sz="4" w:space="0" w:color="auto"/>
              <w:left w:val="single" w:sz="4" w:space="0" w:color="auto"/>
              <w:bottom w:val="single" w:sz="4" w:space="0" w:color="auto"/>
              <w:right w:val="single" w:sz="4" w:space="0" w:color="auto"/>
            </w:tcBorders>
            <w:hideMark/>
          </w:tcPr>
          <w:p w:rsidR="008C4EFA" w:rsidRPr="008C4EFA" w:rsidRDefault="008C4EFA" w:rsidP="00E20D5B">
            <w:r w:rsidRPr="008C4EFA">
              <w:t>Projektų finansavimas (ES; VB; SB)</w:t>
            </w:r>
          </w:p>
        </w:tc>
        <w:tc>
          <w:tcPr>
            <w:tcW w:w="1470"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w:t>
            </w:r>
          </w:p>
        </w:tc>
        <w:tc>
          <w:tcPr>
            <w:tcW w:w="1365"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w:t>
            </w:r>
          </w:p>
        </w:tc>
        <w:tc>
          <w:tcPr>
            <w:tcW w:w="1275"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w:t>
            </w:r>
          </w:p>
        </w:tc>
        <w:tc>
          <w:tcPr>
            <w:tcW w:w="3237"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w:t>
            </w:r>
          </w:p>
        </w:tc>
      </w:tr>
      <w:tr w:rsidR="008C4EFA" w:rsidRPr="008C4EFA" w:rsidTr="00425D24">
        <w:tc>
          <w:tcPr>
            <w:tcW w:w="2204" w:type="dxa"/>
            <w:tcBorders>
              <w:top w:val="single" w:sz="4" w:space="0" w:color="auto"/>
              <w:left w:val="single" w:sz="4" w:space="0" w:color="auto"/>
              <w:bottom w:val="single" w:sz="4" w:space="0" w:color="auto"/>
              <w:right w:val="single" w:sz="4" w:space="0" w:color="auto"/>
            </w:tcBorders>
            <w:hideMark/>
          </w:tcPr>
          <w:p w:rsidR="008C4EFA" w:rsidRPr="008C4EFA" w:rsidRDefault="008C4EFA" w:rsidP="00E20D5B">
            <w:r w:rsidRPr="008C4EFA">
              <w:t>Kitos lėšos (parama 2 % GM ir kt.)</w:t>
            </w:r>
          </w:p>
        </w:tc>
        <w:tc>
          <w:tcPr>
            <w:tcW w:w="1470"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2,91</w:t>
            </w:r>
          </w:p>
        </w:tc>
        <w:tc>
          <w:tcPr>
            <w:tcW w:w="1365"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2,91</w:t>
            </w:r>
          </w:p>
        </w:tc>
        <w:tc>
          <w:tcPr>
            <w:tcW w:w="1275"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100%</w:t>
            </w:r>
          </w:p>
        </w:tc>
        <w:tc>
          <w:tcPr>
            <w:tcW w:w="3237"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w:t>
            </w:r>
          </w:p>
        </w:tc>
      </w:tr>
      <w:tr w:rsidR="008C4EFA" w:rsidRPr="008C4EFA" w:rsidTr="00425D24">
        <w:trPr>
          <w:trHeight w:val="152"/>
        </w:trPr>
        <w:tc>
          <w:tcPr>
            <w:tcW w:w="2204" w:type="dxa"/>
            <w:tcBorders>
              <w:top w:val="single" w:sz="4" w:space="0" w:color="auto"/>
              <w:left w:val="single" w:sz="4" w:space="0" w:color="auto"/>
              <w:bottom w:val="single" w:sz="4" w:space="0" w:color="auto"/>
              <w:right w:val="single" w:sz="4" w:space="0" w:color="auto"/>
            </w:tcBorders>
            <w:hideMark/>
          </w:tcPr>
          <w:p w:rsidR="008C4EFA" w:rsidRPr="008C4EFA" w:rsidRDefault="008C4EFA" w:rsidP="00E20D5B">
            <w:r w:rsidRPr="008C4EFA">
              <w:t>Iš viso</w:t>
            </w:r>
          </w:p>
        </w:tc>
        <w:tc>
          <w:tcPr>
            <w:tcW w:w="1470"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732,29</w:t>
            </w:r>
          </w:p>
        </w:tc>
        <w:tc>
          <w:tcPr>
            <w:tcW w:w="1365"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730,44</w:t>
            </w:r>
          </w:p>
        </w:tc>
        <w:tc>
          <w:tcPr>
            <w:tcW w:w="1275"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99,75%</w:t>
            </w:r>
          </w:p>
        </w:tc>
        <w:tc>
          <w:tcPr>
            <w:tcW w:w="3237"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w:t>
            </w:r>
          </w:p>
        </w:tc>
      </w:tr>
      <w:tr w:rsidR="008C4EFA" w:rsidRPr="008C4EFA" w:rsidTr="00425D24">
        <w:tc>
          <w:tcPr>
            <w:tcW w:w="5039" w:type="dxa"/>
            <w:gridSpan w:val="3"/>
            <w:tcBorders>
              <w:top w:val="single" w:sz="4" w:space="0" w:color="auto"/>
              <w:left w:val="single" w:sz="4" w:space="0" w:color="auto"/>
              <w:bottom w:val="single" w:sz="4" w:space="0" w:color="auto"/>
              <w:right w:val="single" w:sz="4" w:space="0" w:color="auto"/>
            </w:tcBorders>
          </w:tcPr>
          <w:p w:rsidR="008C4EFA" w:rsidRPr="008C4EFA" w:rsidRDefault="008C4EFA" w:rsidP="00E20D5B">
            <w:r w:rsidRPr="008C4EFA">
              <w:t>Kreditinis įsiskolinimas (pagal visus finansavimo šaltinius) 2022 m. sausio 1 d.</w:t>
            </w:r>
          </w:p>
        </w:tc>
        <w:tc>
          <w:tcPr>
            <w:tcW w:w="1275"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227,53</w:t>
            </w:r>
          </w:p>
        </w:tc>
        <w:tc>
          <w:tcPr>
            <w:tcW w:w="3237" w:type="dxa"/>
            <w:tcBorders>
              <w:top w:val="single" w:sz="4" w:space="0" w:color="auto"/>
              <w:left w:val="single" w:sz="4" w:space="0" w:color="auto"/>
              <w:bottom w:val="single" w:sz="4" w:space="0" w:color="auto"/>
              <w:right w:val="single" w:sz="4" w:space="0" w:color="auto"/>
            </w:tcBorders>
            <w:vAlign w:val="center"/>
          </w:tcPr>
          <w:p w:rsidR="008C4EFA" w:rsidRPr="008C4EFA" w:rsidRDefault="008C4EFA" w:rsidP="00E20D5B">
            <w:pPr>
              <w:jc w:val="center"/>
            </w:pPr>
            <w:r w:rsidRPr="008C4EFA">
              <w:t>-</w:t>
            </w:r>
          </w:p>
        </w:tc>
      </w:tr>
    </w:tbl>
    <w:p w:rsidR="008C4EFA" w:rsidRPr="00D94E72" w:rsidRDefault="008C4EFA" w:rsidP="008C4EFA">
      <w:pPr>
        <w:ind w:right="-22" w:firstLine="603"/>
        <w:jc w:val="both"/>
        <w:rPr>
          <w:sz w:val="22"/>
          <w:szCs w:val="22"/>
        </w:rPr>
      </w:pPr>
    </w:p>
    <w:p w:rsidR="00082456" w:rsidRDefault="008C4EFA" w:rsidP="00082456">
      <w:pPr>
        <w:ind w:right="-22" w:firstLine="709"/>
        <w:jc w:val="both"/>
        <w:rPr>
          <w:spacing w:val="-3"/>
          <w:lang w:eastAsia="lt-LT"/>
        </w:rPr>
      </w:pPr>
      <w:r w:rsidRPr="008C4EFA">
        <w:t xml:space="preserve">Įstaigoje </w:t>
      </w:r>
      <w:r w:rsidRPr="008C4EFA">
        <w:rPr>
          <w:spacing w:val="-3"/>
          <w:lang w:eastAsia="lt-LT"/>
        </w:rPr>
        <w:t>2021 m. patikrinimą atliko Valstybinės maisto ir veterinarijos tarnybos Klaipėdos departamentas. Atsižvelgiant į patikrinimo akte pateiktas pastabas, visi trūkumai pašalinti.</w:t>
      </w:r>
    </w:p>
    <w:p w:rsidR="00082456" w:rsidRDefault="008C4EFA" w:rsidP="00082456">
      <w:pPr>
        <w:ind w:right="-22" w:firstLine="709"/>
        <w:jc w:val="both"/>
        <w:rPr>
          <w:spacing w:val="-3"/>
          <w:lang w:eastAsia="lt-LT"/>
        </w:rPr>
      </w:pPr>
      <w:r w:rsidRPr="008C4EFA">
        <w:t>2021 m. Įstaigoje liko neišspręstos tokios vidaus ir išorės faktorių sąlygotos problemos: siekiant užtikrinti ugdymo paslaugų kokybę ir šiuolaikinius reikalavimus atitinkančią saugią ir sveiką aplinką, Įstaigoje būtina atlikti grupių, laiptinių, virtuvės ir valgyklos remontą, sutvarkyti kiemų ir privažiuojamųjų kelių prie Įstaigos dangą, įrengti sporto aikštelę, atnaujinti IKT priemones, įsigyti lauko užsiėmimams skirtą sportinį inventorių.</w:t>
      </w:r>
    </w:p>
    <w:p w:rsidR="008C4EFA" w:rsidRPr="00082456" w:rsidRDefault="008C4EFA" w:rsidP="00082456">
      <w:pPr>
        <w:ind w:right="-22" w:firstLine="709"/>
        <w:jc w:val="both"/>
        <w:rPr>
          <w:spacing w:val="-3"/>
          <w:lang w:eastAsia="lt-LT"/>
        </w:rPr>
      </w:pPr>
      <w:r w:rsidRPr="008C4EFA">
        <w:t>Planuodama 2022 m. veiklą, Įstaigos bendruomenė susitarė dėl šių veiklos prioritetų:</w:t>
      </w:r>
    </w:p>
    <w:p w:rsidR="008C4EFA" w:rsidRPr="008C4EFA" w:rsidRDefault="008C4EFA" w:rsidP="00082456">
      <w:pPr>
        <w:pStyle w:val="Betarp"/>
        <w:numPr>
          <w:ilvl w:val="0"/>
          <w:numId w:val="3"/>
        </w:numPr>
        <w:tabs>
          <w:tab w:val="left" w:pos="856"/>
          <w:tab w:val="left" w:pos="993"/>
        </w:tabs>
        <w:ind w:left="0" w:firstLine="709"/>
        <w:jc w:val="both"/>
        <w:rPr>
          <w:rFonts w:ascii="Times New Roman" w:hAnsi="Times New Roman" w:cs="Times New Roman"/>
          <w:sz w:val="24"/>
          <w:szCs w:val="24"/>
        </w:rPr>
      </w:pPr>
      <w:r w:rsidRPr="008C4EFA">
        <w:rPr>
          <w:rFonts w:ascii="Times New Roman" w:hAnsi="Times New Roman" w:cs="Times New Roman"/>
          <w:sz w:val="24"/>
          <w:szCs w:val="24"/>
        </w:rPr>
        <w:t>Integruoti IKT</w:t>
      </w:r>
      <w:r w:rsidR="00082456">
        <w:rPr>
          <w:rFonts w:ascii="Times New Roman" w:hAnsi="Times New Roman" w:cs="Times New Roman"/>
          <w:sz w:val="24"/>
          <w:szCs w:val="24"/>
        </w:rPr>
        <w:t xml:space="preserve"> </w:t>
      </w:r>
      <w:r w:rsidRPr="008C4EFA">
        <w:rPr>
          <w:rFonts w:ascii="Times New Roman" w:hAnsi="Times New Roman" w:cs="Times New Roman"/>
          <w:sz w:val="24"/>
          <w:szCs w:val="24"/>
        </w:rPr>
        <w:t>priemones į ugdymo procesą, taikant virtualias mokumui(si) skirtas platformas.</w:t>
      </w:r>
    </w:p>
    <w:p w:rsidR="008C4EFA" w:rsidRPr="00082456" w:rsidRDefault="008C4EFA" w:rsidP="00082456">
      <w:pPr>
        <w:pStyle w:val="Sraopastraipa"/>
        <w:numPr>
          <w:ilvl w:val="0"/>
          <w:numId w:val="3"/>
        </w:numPr>
        <w:tabs>
          <w:tab w:val="left" w:pos="856"/>
          <w:tab w:val="left" w:pos="993"/>
        </w:tabs>
        <w:ind w:left="0" w:firstLine="709"/>
        <w:jc w:val="both"/>
      </w:pPr>
      <w:r w:rsidRPr="00082456">
        <w:t>Užtikrinti ugdymo pagalbą įvairių gebėjimų ir poreikių vaikams, taikant įtraukųjį ugdymą.</w:t>
      </w:r>
    </w:p>
    <w:p w:rsidR="00D57F27" w:rsidRPr="008C4EFA" w:rsidRDefault="008C4EFA" w:rsidP="00082456">
      <w:pPr>
        <w:pStyle w:val="Sraopastraipa"/>
        <w:numPr>
          <w:ilvl w:val="0"/>
          <w:numId w:val="3"/>
        </w:numPr>
        <w:tabs>
          <w:tab w:val="left" w:pos="993"/>
        </w:tabs>
        <w:ind w:left="0" w:firstLine="709"/>
        <w:jc w:val="both"/>
      </w:pPr>
      <w:r w:rsidRPr="008C4EFA">
        <w:t>Užtikrinti duomenų analize ir įsivertinimu pagrįstą švietimo turinio ir vadybos kokybę, kuriant savivaldos, socialinės partnerystės ir vadovų lyderystės darną.</w:t>
      </w:r>
    </w:p>
    <w:p w:rsidR="002C0888" w:rsidRDefault="002C0888" w:rsidP="00832CC9">
      <w:pPr>
        <w:ind w:firstLine="709"/>
        <w:jc w:val="both"/>
        <w:rPr>
          <w:sz w:val="22"/>
          <w:szCs w:val="22"/>
        </w:rPr>
      </w:pPr>
    </w:p>
    <w:p w:rsidR="006434AF" w:rsidRPr="00D94E72" w:rsidRDefault="006434AF" w:rsidP="00832CC9">
      <w:pPr>
        <w:ind w:firstLine="709"/>
        <w:jc w:val="both"/>
        <w:rPr>
          <w:sz w:val="22"/>
          <w:szCs w:val="22"/>
        </w:rPr>
      </w:pPr>
      <w:bookmarkStart w:id="2" w:name="_GoBack"/>
      <w:bookmarkEnd w:id="2"/>
    </w:p>
    <w:p w:rsidR="002C0888" w:rsidRPr="00832CC9" w:rsidRDefault="002C0888" w:rsidP="00C273B5">
      <w:pPr>
        <w:jc w:val="both"/>
      </w:pPr>
      <w:r>
        <w:t>Direktorė</w:t>
      </w:r>
      <w:r w:rsidR="00C273B5">
        <w:tab/>
      </w:r>
      <w:r>
        <w:tab/>
      </w:r>
      <w:r>
        <w:tab/>
      </w:r>
      <w:r>
        <w:tab/>
      </w:r>
      <w:r>
        <w:tab/>
      </w:r>
      <w:r w:rsidR="008C4EFA">
        <w:tab/>
      </w:r>
      <w:r w:rsidR="00C273B5">
        <w:t xml:space="preserve">   </w:t>
      </w:r>
      <w:r w:rsidR="008C4EFA">
        <w:t xml:space="preserve">  </w:t>
      </w:r>
      <w:r w:rsidR="008C4EFA" w:rsidRPr="008A4C33">
        <w:rPr>
          <w:lang w:eastAsia="lt-LT"/>
        </w:rPr>
        <w:t>Natalija Griško</w:t>
      </w:r>
    </w:p>
    <w:sectPr w:rsidR="002C0888"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434AF">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F0CC8A4E"/>
    <w:lvl w:ilvl="0" w:tplc="6798910C">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 w15:restartNumberingAfterBreak="0">
    <w:nsid w:val="596C4646"/>
    <w:multiLevelType w:val="hybridMultilevel"/>
    <w:tmpl w:val="528AF2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5505D5B"/>
    <w:multiLevelType w:val="hybridMultilevel"/>
    <w:tmpl w:val="55E830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82456"/>
    <w:rsid w:val="00116DF4"/>
    <w:rsid w:val="0019615E"/>
    <w:rsid w:val="001F347E"/>
    <w:rsid w:val="001F56B6"/>
    <w:rsid w:val="002C0888"/>
    <w:rsid w:val="00303D6D"/>
    <w:rsid w:val="0034183E"/>
    <w:rsid w:val="003C3A93"/>
    <w:rsid w:val="00425D24"/>
    <w:rsid w:val="004476DD"/>
    <w:rsid w:val="00491FEE"/>
    <w:rsid w:val="004C6FBF"/>
    <w:rsid w:val="00597EE8"/>
    <w:rsid w:val="005B434A"/>
    <w:rsid w:val="005E5784"/>
    <w:rsid w:val="005F495C"/>
    <w:rsid w:val="006434AF"/>
    <w:rsid w:val="007359BB"/>
    <w:rsid w:val="00832CC9"/>
    <w:rsid w:val="008354D5"/>
    <w:rsid w:val="008C4EFA"/>
    <w:rsid w:val="008D27D7"/>
    <w:rsid w:val="008E6E82"/>
    <w:rsid w:val="009A7C59"/>
    <w:rsid w:val="00AF7D08"/>
    <w:rsid w:val="00B6499B"/>
    <w:rsid w:val="00B750B6"/>
    <w:rsid w:val="00C273B5"/>
    <w:rsid w:val="00C57681"/>
    <w:rsid w:val="00C903DD"/>
    <w:rsid w:val="00CA4D3B"/>
    <w:rsid w:val="00D42B72"/>
    <w:rsid w:val="00D57F27"/>
    <w:rsid w:val="00D94E72"/>
    <w:rsid w:val="00E33871"/>
    <w:rsid w:val="00E56A73"/>
    <w:rsid w:val="00F1275A"/>
    <w:rsid w:val="00F63A65"/>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D0966"/>
  <w15:docId w15:val="{1AF12758-B667-454F-A3E5-36B69D660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8C4EFA"/>
    <w:pPr>
      <w:ind w:left="720"/>
      <w:contextualSpacing/>
    </w:pPr>
    <w:rPr>
      <w:szCs w:val="20"/>
    </w:rPr>
  </w:style>
  <w:style w:type="paragraph" w:styleId="Betarp">
    <w:name w:val="No Spacing"/>
    <w:uiPriority w:val="1"/>
    <w:qFormat/>
    <w:rsid w:val="008C4EFA"/>
    <w:pPr>
      <w:spacing w:after="0" w:line="240" w:lineRule="auto"/>
    </w:pPr>
  </w:style>
  <w:style w:type="character" w:styleId="Komentaronuoroda">
    <w:name w:val="annotation reference"/>
    <w:basedOn w:val="Numatytasispastraiposriftas"/>
    <w:uiPriority w:val="99"/>
    <w:semiHidden/>
    <w:unhideWhenUsed/>
    <w:rsid w:val="008C4EF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6938</Words>
  <Characters>3956</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31</cp:revision>
  <dcterms:created xsi:type="dcterms:W3CDTF">2022-02-24T06:01:00Z</dcterms:created>
  <dcterms:modified xsi:type="dcterms:W3CDTF">2022-03-01T14:07:00Z</dcterms:modified>
</cp:coreProperties>
</file>